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78347">
      <w:pPr>
        <w:pStyle w:val="2"/>
        <w:widowControl w:val="0"/>
        <w:spacing w:before="100" w:after="0" w:line="360" w:lineRule="auto"/>
        <w:jc w:val="both"/>
        <w:rPr>
          <w:rFonts w:ascii="Times New Roman" w:hAnsi="Times New Roman" w:eastAsia="宋体" w:cs="Times New Roman"/>
          <w:kern w:val="2"/>
          <w:sz w:val="28"/>
        </w:rPr>
      </w:pPr>
      <w:bookmarkStart w:id="0" w:name="_Toc501460596"/>
      <w:bookmarkStart w:id="1" w:name="_Toc29105"/>
      <w:r>
        <w:rPr>
          <w:rFonts w:ascii="Times New Roman" w:hAnsi="Times New Roman" w:eastAsia="宋体" w:cs="Times New Roman"/>
          <w:kern w:val="2"/>
          <w:sz w:val="28"/>
        </w:rPr>
        <w:t>附件</w:t>
      </w:r>
      <w:r>
        <w:rPr>
          <w:rFonts w:hint="eastAsia" w:ascii="Times New Roman" w:hAnsi="Times New Roman" w:eastAsia="宋体" w:cs="Times New Roman"/>
          <w:kern w:val="2"/>
          <w:sz w:val="28"/>
        </w:rPr>
        <w:t>1</w:t>
      </w:r>
      <w:r>
        <w:rPr>
          <w:rFonts w:ascii="Times New Roman" w:hAnsi="Times New Roman" w:eastAsia="宋体" w:cs="Times New Roman"/>
          <w:kern w:val="2"/>
          <w:sz w:val="28"/>
        </w:rPr>
        <w:t>：</w:t>
      </w:r>
      <w:bookmarkEnd w:id="0"/>
      <w:r>
        <w:rPr>
          <w:rFonts w:hint="eastAsia" w:ascii="Times New Roman" w:hAnsi="Times New Roman" w:eastAsia="宋体" w:cs="Times New Roman"/>
          <w:kern w:val="2"/>
          <w:sz w:val="28"/>
        </w:rPr>
        <w:t>招标公告附表</w:t>
      </w:r>
      <w:bookmarkEnd w:id="1"/>
    </w:p>
    <w:tbl>
      <w:tblPr>
        <w:tblStyle w:val="4"/>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2"/>
        <w:gridCol w:w="645"/>
        <w:gridCol w:w="802"/>
        <w:gridCol w:w="846"/>
        <w:gridCol w:w="690"/>
        <w:gridCol w:w="682"/>
        <w:gridCol w:w="1118"/>
        <w:gridCol w:w="5119"/>
        <w:gridCol w:w="690"/>
        <w:gridCol w:w="764"/>
        <w:gridCol w:w="1109"/>
        <w:gridCol w:w="691"/>
        <w:gridCol w:w="515"/>
      </w:tblGrid>
      <w:tr w14:paraId="3A749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blHeader/>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A70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403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包件号</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722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包件名称</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A18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物资材料名称</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652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636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06F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58E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资格条件</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36B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交货时间</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541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交货地点</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DD3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交货条件及状态</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197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收货单位</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FE5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备注</w:t>
            </w:r>
          </w:p>
        </w:tc>
      </w:tr>
      <w:tr w14:paraId="35BE9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1F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056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MFJ-01</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FB0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嵌缝材料</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07C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结构硅酮密封胶（含嵌缝板、界面剂）</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10DCC">
            <w:pPr>
              <w:jc w:val="center"/>
              <w:rPr>
                <w:rFonts w:hint="eastAsia" w:ascii="宋体" w:hAnsi="宋体" w:eastAsia="宋体" w:cs="宋体"/>
                <w:i w:val="0"/>
                <w:iCs w:val="0"/>
                <w:color w:val="000000"/>
                <w:sz w:val="22"/>
                <w:szCs w:val="22"/>
                <w:highlight w:val="none"/>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48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kg</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C86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15246.81</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4981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1.在中华人民共和国境内依法注册，具有法人资格的生产商。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2.投标人应提供2021年-2023年中任意一年经会计师事务所或审计机构审计的符合国家规定的财务会计报表。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投标人须提供结构硅酮密封胶近5年（2020年3月至投标截止日，以采购合同签订时间为准）至少一份铁路或其他交通建设项目的供货业绩，单个合同数量不少于10000kg，提供相应的中标通知书、合同协议书、材料进场验收证书（或验收文件等）或用户使用证明。</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4.投标人须提供由CMA或CNAS认证的检测机构依据《铁路无砟轨道嵌缝材料》（Q/CR 601-2017）出具的近3年（2022年3月至投标截止日）结构硅酮密封胶的检测报告。</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4CD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以甲方采购计划时间为准（首批供货时间为不晚于中标通知书发出之日起第45天）</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EDD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衡水枢纽站前一标指定地点</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D7D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完好，卸货至指定地点</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86F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中铁二局站前一标</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6625">
            <w:pPr>
              <w:jc w:val="center"/>
              <w:rPr>
                <w:rFonts w:hint="eastAsia" w:ascii="宋体" w:hAnsi="宋体" w:eastAsia="宋体" w:cs="宋体"/>
                <w:i w:val="0"/>
                <w:iCs w:val="0"/>
                <w:color w:val="000000"/>
                <w:sz w:val="22"/>
                <w:szCs w:val="22"/>
                <w:highlight w:val="none"/>
                <w:u w:val="none"/>
              </w:rPr>
            </w:pPr>
          </w:p>
        </w:tc>
      </w:tr>
      <w:tr w14:paraId="05FDE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88A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0F5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MFJ-02</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009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嵌缝材料</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CB4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结构硅酮密封胶（含嵌缝板、界面剂）</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E13F">
            <w:pPr>
              <w:jc w:val="center"/>
              <w:rPr>
                <w:rFonts w:hint="eastAsia" w:ascii="宋体" w:hAnsi="宋体" w:eastAsia="宋体" w:cs="宋体"/>
                <w:i w:val="0"/>
                <w:iCs w:val="0"/>
                <w:color w:val="000000"/>
                <w:sz w:val="22"/>
                <w:szCs w:val="22"/>
                <w:highlight w:val="none"/>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4EC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kg</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801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27411</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600A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1.在中华人民共和国境内依法注册，具有法人资格的生产商。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2.投标人应提供2021年-2023年中任意一年经会计师事务所或审计机构审计的符合国家规定的财务会计报表。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投标人须提供结构硅酮密封胶近5年（2020年3月至投标截止日，以采购合同签订时间为准）至少一份铁路或其他交通建设项目的供货业绩，单个合同数量不少于10000kg，提供相应的中标通知书、合同协议书、材料进场验收证书（或验收文件等）或用户使用证明。</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4.投标人须提供由CMA或CNAS认证的检测机构依据《铁路无砟轨道嵌缝材料》（Q/CR 601-2017）出具的近3年（2022年3月至投标截止日）结构硅酮密封胶的检测报告。</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66B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以甲方采购计划时间为准（首批供货时间为不晚于中标通知书发出之日起第45天）</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CC4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衡水枢纽站前</w:t>
            </w:r>
            <w:r>
              <w:rPr>
                <w:rFonts w:hint="eastAsia" w:ascii="宋体" w:hAnsi="宋体" w:cs="宋体"/>
                <w:i w:val="0"/>
                <w:iCs w:val="0"/>
                <w:color w:val="000000"/>
                <w:kern w:val="0"/>
                <w:sz w:val="20"/>
                <w:szCs w:val="20"/>
                <w:highlight w:val="none"/>
                <w:u w:val="none"/>
                <w:lang w:val="en-US" w:eastAsia="zh-CN" w:bidi="ar"/>
              </w:rPr>
              <w:t>二</w:t>
            </w:r>
            <w:r>
              <w:rPr>
                <w:rFonts w:hint="eastAsia" w:ascii="宋体" w:hAnsi="宋体" w:eastAsia="宋体" w:cs="宋体"/>
                <w:i w:val="0"/>
                <w:iCs w:val="0"/>
                <w:color w:val="000000"/>
                <w:kern w:val="0"/>
                <w:sz w:val="20"/>
                <w:szCs w:val="20"/>
                <w:highlight w:val="none"/>
                <w:u w:val="none"/>
                <w:lang w:val="en-US" w:eastAsia="zh-CN" w:bidi="ar"/>
              </w:rPr>
              <w:t>标指定地点</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A72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完好，卸货至指定地点</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7F4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中铁三局站前二标</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B659F">
            <w:pPr>
              <w:jc w:val="center"/>
              <w:rPr>
                <w:rFonts w:hint="eastAsia" w:ascii="宋体" w:hAnsi="宋体" w:eastAsia="宋体" w:cs="宋体"/>
                <w:i w:val="0"/>
                <w:iCs w:val="0"/>
                <w:color w:val="000000"/>
                <w:sz w:val="22"/>
                <w:szCs w:val="22"/>
                <w:highlight w:val="none"/>
                <w:u w:val="none"/>
              </w:rPr>
            </w:pPr>
          </w:p>
        </w:tc>
      </w:tr>
    </w:tbl>
    <w:p w14:paraId="42289E3E">
      <w:pPr>
        <w:rPr>
          <w:rFonts w:cs="Times New Roman"/>
          <w:sz w:val="28"/>
        </w:rPr>
        <w:sectPr>
          <w:footerReference r:id="rId5" w:type="default"/>
          <w:pgSz w:w="16838" w:h="11906" w:orient="landscape"/>
          <w:pgMar w:top="1080" w:right="1440" w:bottom="1080" w:left="1440" w:header="851" w:footer="992" w:gutter="0"/>
          <w:cols w:space="425" w:num="1"/>
          <w:docGrid w:linePitch="312" w:charSpace="0"/>
        </w:sectPr>
      </w:pPr>
    </w:p>
    <w:p w14:paraId="10B99A8F">
      <w:pPr>
        <w:pStyle w:val="2"/>
        <w:widowControl w:val="0"/>
        <w:spacing w:before="100" w:after="0" w:line="360" w:lineRule="auto"/>
        <w:jc w:val="both"/>
        <w:rPr>
          <w:rFonts w:ascii="Times New Roman" w:hAnsi="Times New Roman" w:eastAsia="宋体" w:cs="Times New Roman"/>
          <w:kern w:val="2"/>
          <w:sz w:val="28"/>
        </w:rPr>
      </w:pPr>
      <w:r>
        <w:rPr>
          <w:rFonts w:hint="eastAsia" w:ascii="Times New Roman" w:hAnsi="Times New Roman" w:eastAsia="宋体" w:cs="Times New Roman"/>
          <w:kern w:val="2"/>
          <w:sz w:val="28"/>
        </w:rPr>
        <w:t>附件2：支付方式</w:t>
      </w:r>
    </w:p>
    <w:p w14:paraId="3B6B1A52">
      <w:pPr>
        <w:widowControl/>
        <w:jc w:val="left"/>
        <w:rPr>
          <w:rFonts w:hint="eastAsia" w:ascii="宋体" w:hAnsi="宋体" w:cs="宋体"/>
          <w:szCs w:val="21"/>
        </w:rPr>
      </w:pPr>
    </w:p>
    <w:p w14:paraId="16DD8260">
      <w:pPr>
        <w:widowControl/>
        <w:ind w:firstLine="420" w:firstLineChars="200"/>
        <w:jc w:val="left"/>
        <w:rPr>
          <w:rFonts w:hint="eastAsia" w:ascii="宋体" w:hAnsi="宋体" w:cs="宋体"/>
          <w:szCs w:val="21"/>
        </w:rPr>
      </w:pPr>
      <w:r>
        <w:rPr>
          <w:rFonts w:hint="eastAsia" w:ascii="宋体" w:hAnsi="宋体" w:cs="宋体"/>
          <w:szCs w:val="21"/>
        </w:rPr>
        <w:t>投标人须在招标文件发售期间通过中国铁物电子招投标平台（https://www.bidding-crmsc.com.cn/）“投标管理”完成汇款（具体缴费流程可咨询招标代理人员），招标文件支付方式只支持网上支付（个人网银或企业网银）。完成相应包件支付后，将“支付成功”界面的截图作为缴费凭证，上传至北京工程建设公共资源交易平台（请将贵公司在交易平台的联系人维护更新），通过北京工程建设公共资源交易平台下载招标文件（电子版）。</w:t>
      </w:r>
    </w:p>
    <w:p w14:paraId="4ADF5466">
      <w:pPr>
        <w:widowControl/>
        <w:ind w:firstLine="420" w:firstLineChars="200"/>
        <w:jc w:val="left"/>
        <w:rPr>
          <w:rFonts w:hint="eastAsia" w:ascii="宋体" w:hAnsi="宋体" w:cs="宋体"/>
          <w:szCs w:val="21"/>
        </w:rPr>
      </w:pPr>
      <w:r>
        <w:rPr>
          <w:rFonts w:hint="eastAsia" w:ascii="宋体" w:hAnsi="宋体" w:cs="宋体"/>
          <w:szCs w:val="21"/>
        </w:rPr>
        <w:t>购买招标文件成功后，投标人如不能按时递交投标文件或放弃投标的，请于递交投标文件截止时间前5日，出具放弃投标的书面说明（须加盖公章，注明不参加的项目和包件号），将扫描件发送至</w:t>
      </w:r>
      <w:r>
        <w:rPr>
          <w:rFonts w:hint="eastAsia" w:cs="Times New Roman"/>
          <w:szCs w:val="21"/>
          <w:u w:val="single"/>
        </w:rPr>
        <w:t>ztwzlk@163.com</w:t>
      </w:r>
      <w:r>
        <w:rPr>
          <w:rFonts w:hint="eastAsia" w:ascii="宋体" w:hAnsi="宋体" w:cs="宋体"/>
          <w:szCs w:val="21"/>
        </w:rPr>
        <w:t>，并电话与代理机构联系人进行确认。</w:t>
      </w:r>
    </w:p>
    <w:p w14:paraId="74B59761">
      <w:pPr>
        <w:widowControl/>
        <w:ind w:firstLine="420" w:firstLineChars="200"/>
        <w:jc w:val="left"/>
        <w:rPr>
          <w:rFonts w:hint="eastAsia" w:ascii="宋体" w:hAnsi="宋体" w:cs="宋体"/>
          <w:szCs w:val="21"/>
        </w:rPr>
      </w:pPr>
      <w:r>
        <w:rPr>
          <w:rFonts w:hint="eastAsia" w:ascii="宋体" w:hAnsi="宋体" w:cs="宋体"/>
          <w:szCs w:val="21"/>
        </w:rPr>
        <w:t>[标书款发票：将按照投标人在中国铁物电子招投标平台“系统管理”-“公司信息”中录入的开票信息开具标书款发票（开票信息如有变更请及时更新），待开具成功后，投标人通过“投标管理”-“电票下载”自行下载]。</w:t>
      </w:r>
    </w:p>
    <w:p w14:paraId="31399FCE">
      <w:pPr>
        <w:widowControl/>
        <w:ind w:firstLine="420" w:firstLineChars="200"/>
        <w:jc w:val="left"/>
        <w:rPr>
          <w:rFonts w:hint="eastAsia" w:ascii="宋体" w:hAnsi="宋体" w:cs="宋体"/>
          <w:szCs w:val="21"/>
        </w:rPr>
      </w:pPr>
      <w:r>
        <w:rPr>
          <w:rFonts w:hint="eastAsia" w:ascii="宋体" w:hAnsi="宋体" w:cs="宋体"/>
          <w:szCs w:val="21"/>
        </w:rPr>
        <w:t>已购买过招标文件的投标人，如果继续参加本次投标，按照以上支付步骤重新操作，标书款零元。将“支付成功”界面的截图作为缴费凭证，上传至北京工程建设公共资源交易平台，通过北京工程建设公共资源交易平台下载招标文件（电子版）</w:t>
      </w:r>
    </w:p>
    <w:p w14:paraId="757D6BA1">
      <w:pPr>
        <w:widowControl/>
        <w:jc w:val="left"/>
        <w:rPr>
          <w:rFonts w:hint="eastAsia" w:ascii="宋体" w:hAnsi="宋体" w:cs="宋体"/>
          <w:szCs w:val="21"/>
        </w:rPr>
      </w:pPr>
    </w:p>
    <w:p w14:paraId="67970861">
      <w:pPr>
        <w:widowControl/>
        <w:jc w:val="left"/>
        <w:rPr>
          <w:rFonts w:hint="eastAsia" w:ascii="宋体" w:hAnsi="宋体" w:cs="宋体"/>
          <w:szCs w:val="21"/>
        </w:rPr>
      </w:pPr>
    </w:p>
    <w:p w14:paraId="28296C0C">
      <w:pPr>
        <w:widowControl/>
        <w:jc w:val="left"/>
        <w:rPr>
          <w:rFonts w:hint="eastAsia" w:ascii="宋体" w:hAnsi="宋体" w:cs="宋体"/>
          <w:szCs w:val="21"/>
        </w:rPr>
      </w:pPr>
      <w:r>
        <w:rPr>
          <w:rFonts w:hint="eastAsia" w:ascii="宋体" w:hAnsi="宋体" w:cs="宋体"/>
          <w:szCs w:val="21"/>
        </w:rPr>
        <w:t>代理机构：中铁物总国际招标有限公司</w:t>
      </w:r>
    </w:p>
    <w:p w14:paraId="5822D708">
      <w:pPr>
        <w:widowControl/>
        <w:jc w:val="left"/>
        <w:rPr>
          <w:rFonts w:hint="eastAsia" w:ascii="宋体" w:hAnsi="宋体" w:cs="宋体"/>
          <w:szCs w:val="21"/>
        </w:rPr>
      </w:pPr>
      <w:r>
        <w:rPr>
          <w:rFonts w:hint="eastAsia" w:ascii="宋体" w:hAnsi="宋体" w:cs="宋体"/>
          <w:szCs w:val="21"/>
        </w:rPr>
        <w:t>地  址：北京市丰台区凤凰嘴街鼎兴大厦A座11层</w:t>
      </w:r>
    </w:p>
    <w:p w14:paraId="4BA04378">
      <w:pPr>
        <w:widowControl/>
        <w:jc w:val="left"/>
        <w:rPr>
          <w:rFonts w:hint="eastAsia" w:ascii="宋体" w:hAnsi="宋体" w:cs="宋体"/>
          <w:szCs w:val="21"/>
        </w:rPr>
      </w:pPr>
      <w:r>
        <w:rPr>
          <w:rFonts w:hint="eastAsia" w:ascii="宋体" w:hAnsi="宋体" w:cs="宋体"/>
          <w:szCs w:val="21"/>
        </w:rPr>
        <w:t>联系人：</w:t>
      </w:r>
      <w:r>
        <w:rPr>
          <w:rFonts w:hint="eastAsia" w:ascii="宋体" w:hAnsi="宋体" w:cs="宋体"/>
          <w:szCs w:val="21"/>
          <w:lang w:val="en-US" w:eastAsia="zh-CN"/>
        </w:rPr>
        <w:t>王思宇、</w:t>
      </w:r>
      <w:r>
        <w:rPr>
          <w:rFonts w:hint="eastAsia" w:ascii="宋体" w:hAnsi="宋体" w:cs="宋体"/>
          <w:szCs w:val="21"/>
        </w:rPr>
        <w:t>刘宗凯</w:t>
      </w:r>
    </w:p>
    <w:p w14:paraId="5E492C35">
      <w:pPr>
        <w:widowControl/>
        <w:jc w:val="left"/>
        <w:rPr>
          <w:rFonts w:hint="eastAsia" w:ascii="宋体" w:hAnsi="宋体" w:cs="宋体"/>
          <w:szCs w:val="21"/>
        </w:rPr>
      </w:pPr>
      <w:r>
        <w:rPr>
          <w:rFonts w:hint="eastAsia" w:ascii="宋体" w:hAnsi="宋体" w:cs="宋体"/>
          <w:szCs w:val="21"/>
        </w:rPr>
        <w:t>电  话：13161866075、15131159711</w:t>
      </w:r>
    </w:p>
    <w:p w14:paraId="1C44C4E8">
      <w:bookmarkStart w:id="2" w:name="_GoBack"/>
      <w:bookmarkEnd w:id="2"/>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E499">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D99A7D">
                          <w:pPr>
                            <w:pStyle w:val="3"/>
                          </w:pPr>
                          <w:r>
                            <w:fldChar w:fldCharType="begin"/>
                          </w:r>
                          <w:r>
                            <w:instrText xml:space="preserve"> PAGE  \* MERGEFORMAT </w:instrText>
                          </w:r>
                          <w:r>
                            <w:fldChar w:fldCharType="separate"/>
                          </w:r>
                          <w:r>
                            <w:t>6</w:t>
                          </w:r>
                          <w: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AgVv8IBAACN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PAIFb/CAQAAjQMAAA4AAAAAAAAAAQAgAAAAHgEAAGRycy9lMm9Eb2MueG1sUEsF&#10;BgAAAAAGAAYAWQEAAFIFAAAAAA==&#10;">
              <v:fill on="f" focussize="0,0"/>
              <v:stroke on="f"/>
              <v:imagedata o:title=""/>
              <o:lock v:ext="edit" aspectratio="f"/>
              <v:textbox inset="0mm,0mm,0mm,0mm" style="mso-fit-shape-to-text:t;">
                <w:txbxContent>
                  <w:p w14:paraId="6CD99A7D">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763677"/>
    <w:rsid w:val="50763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2">
    <w:name w:val="heading 2"/>
    <w:basedOn w:val="1"/>
    <w:next w:val="1"/>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spacing w:line="240" w:lineRule="auto"/>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2025-05-16T02:30:00Z</dcterms:created>
  <dc:creator>凯</dc:creator>
  <cp:lastModifiedBy>凯</cp:lastModifiedBy>
  <dcterms:modified xsi:type="dcterms:W3CDTF">2025-05-16T02:31:02Z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A83426A8ADA14C55B6F0BE08767E9B36_11</vt:lpwstr>
  </property>
  <property fmtid="{D5CDD505-2E9C-101B-9397-08002B2CF9AE}" pid="4" name="KSOTemplateDocerSaveRecord">
    <vt:lpwstr>eyJoZGlkIjoiMDQwYzAzMDMwNTQ1OTZhYzIxMWFhYjI5NTEwMTUyODUiLCJ1c2VySWQiOiI1MDkyMjQ1MjAifQ==</vt:lpwstr>
  </property>
</Properties>
</file>